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If Books Could Talk: A Book Donation Story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Garamond" w:cs="Garamond" w:eastAsia="Garamond" w:hAnsi="Garamond"/>
          <w:sz w:val="24"/>
          <w:szCs w:val="24"/>
        </w:rPr>
      </w:pPr>
      <w:r w:rsidDel="00000000" w:rsidR="00000000" w:rsidRPr="00000000">
        <w:rPr>
          <w:rFonts w:ascii="Garamond" w:cs="Garamond" w:eastAsia="Garamond" w:hAnsi="Garamond"/>
          <w:sz w:val="24"/>
          <w:szCs w:val="24"/>
          <w:rtl w:val="0"/>
        </w:rPr>
        <w:br w:type="textWrapping"/>
        <w:tab/>
        <w:t xml:space="preserve">At the conclusion of last year’s spring semester, a fellow English lover, a Ms. Sheila Crawford, donated 48 cartons of books. Crawford studied at Loretto Heights, Regis’ sister nursing school, and as an alumni, still loved English. After passing away last year, her children contacted the English department at Regis and proceeded to grace our study room with a majestic glow, and allowing the department the freedom to truly call it an English study room.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Even now, a summer and a semester later, only a portion has been fully sorted through and deemed fit to take their place on the shelves, which were selected by the work studies last year. Yet another portion sits in the corner of Dr. Mark Bruhn’s office, from rarities to first editions, which while did not make the cut onto the study </w:t>
      </w:r>
      <w:r w:rsidDel="00000000" w:rsidR="00000000" w:rsidRPr="00000000">
        <w:rPr>
          <w:rFonts w:ascii="Garamond" w:cs="Garamond" w:eastAsia="Garamond" w:hAnsi="Garamond"/>
          <w:sz w:val="24"/>
          <w:szCs w:val="24"/>
          <w:rtl w:val="0"/>
        </w:rPr>
        <w:t xml:space="preserve">room’s</w:t>
      </w:r>
      <w:r w:rsidDel="00000000" w:rsidR="00000000" w:rsidRPr="00000000">
        <w:rPr>
          <w:rFonts w:ascii="Garamond" w:cs="Garamond" w:eastAsia="Garamond" w:hAnsi="Garamond"/>
          <w:sz w:val="24"/>
          <w:szCs w:val="24"/>
          <w:rtl w:val="0"/>
        </w:rPr>
        <w:t xml:space="preserve"> shelves, still holds such magnificence that they cannot simply be parted with. Hiding in the piles of his office are all first editions of beloved authors and stories; atop the stack is Roald Dahl’s </w:t>
      </w:r>
      <w:r w:rsidDel="00000000" w:rsidR="00000000" w:rsidRPr="00000000">
        <w:rPr>
          <w:rFonts w:ascii="Garamond" w:cs="Garamond" w:eastAsia="Garamond" w:hAnsi="Garamond"/>
          <w:i w:val="1"/>
          <w:sz w:val="24"/>
          <w:szCs w:val="24"/>
          <w:rtl w:val="0"/>
        </w:rPr>
        <w:t xml:space="preserve">Fantastic Mr, Fox</w:t>
      </w:r>
      <w:r w:rsidDel="00000000" w:rsidR="00000000" w:rsidRPr="00000000">
        <w:rPr>
          <w:rFonts w:ascii="Garamond" w:cs="Garamond" w:eastAsia="Garamond" w:hAnsi="Garamond"/>
          <w:sz w:val="24"/>
          <w:szCs w:val="24"/>
          <w:rtl w:val="0"/>
        </w:rPr>
        <w:t xml:space="preserve">, as well as Harper Lee’s </w:t>
      </w:r>
      <w:r w:rsidDel="00000000" w:rsidR="00000000" w:rsidRPr="00000000">
        <w:rPr>
          <w:rFonts w:ascii="Garamond" w:cs="Garamond" w:eastAsia="Garamond" w:hAnsi="Garamond"/>
          <w:i w:val="1"/>
          <w:sz w:val="24"/>
          <w:szCs w:val="24"/>
          <w:rtl w:val="0"/>
        </w:rPr>
        <w:t xml:space="preserve">To Kill A Mockingbird</w:t>
      </w:r>
      <w:r w:rsidDel="00000000" w:rsidR="00000000" w:rsidRPr="00000000">
        <w:rPr>
          <w:rFonts w:ascii="Garamond" w:cs="Garamond" w:eastAsia="Garamond" w:hAnsi="Garamond"/>
          <w:sz w:val="24"/>
          <w:szCs w:val="24"/>
          <w:rtl w:val="0"/>
        </w:rPr>
        <w:t xml:space="preserve">. A favorite of Dr. Bruhn’s is the small collection of Edna St. Vincent Millay, an American poet. Though worn on the edges, the language depicting the human experience is irreplaceable.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Imagining the room empty of all the books leaves it feeling hollow to so many of the students that filter in and out daily. Dr. Bruhn loves how the books “make that study room look so studious.” Within her collection, many are the classics, from Shel Silverstein to Walt Whitman, which now rest on shelves built by the department. Dr. David Hicks also feels very fondly toward the books, and expressed the following: “I love those books. I love the person who donated those books to us. I love that the students in our study room are intellectually bolstered by those books as they study other books. I love the smell of the books, the feeling of the books, and the taste of the books. If anyone tries to take those books from our study room, I will not be responsible for my actions.”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Clearly, the addition of the books not only fills the room physically, but there is an inspiration that infiltrates the air because of the vibrancy and history and abundance of words that rest within our grasp and make this study room feel more like a home to knowledge and chronicles of life.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